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39" w:rsidRDefault="005E1539" w:rsidP="005E1539"/>
    <w:p w:rsidR="005E1539" w:rsidRDefault="005E1539" w:rsidP="005E1539">
      <w:pPr>
        <w:pStyle w:val="4"/>
        <w:tabs>
          <w:tab w:val="clear" w:pos="0"/>
          <w:tab w:val="left" w:pos="708"/>
        </w:tabs>
        <w:spacing w:before="0" w:after="0"/>
        <w:rPr>
          <w:rFonts w:ascii="Times New Roman KK EK" w:eastAsia="Arial Unicode MS" w:hAnsi="Times New Roman KK EK"/>
          <w:sz w:val="24"/>
          <w:szCs w:val="24"/>
          <w:lang w:val="kk-KZ" w:eastAsia="ko-KR"/>
        </w:rPr>
      </w:pPr>
      <w:r>
        <w:rPr>
          <w:rFonts w:ascii="Times New Roman KK EK" w:hAnsi="Times New Roman KK EK"/>
          <w:sz w:val="24"/>
          <w:szCs w:val="24"/>
          <w:lang w:val="uk-UA" w:eastAsia="ko-KR"/>
        </w:rPr>
        <w:t>Тақырып 9. Корпоративтік тәуекелдікті басқару</w:t>
      </w:r>
    </w:p>
    <w:p w:rsidR="005E1539" w:rsidRDefault="005E1539" w:rsidP="005E1539">
      <w:pPr>
        <w:rPr>
          <w:lang w:val="kk-KZ" w:eastAsia="ko-KR"/>
        </w:rPr>
      </w:pPr>
    </w:p>
    <w:p w:rsidR="005E1539" w:rsidRDefault="005E1539" w:rsidP="005E1539">
      <w:pPr>
        <w:pStyle w:val="a3"/>
        <w:keepNext w:val="0"/>
        <w:spacing w:before="0" w:after="0"/>
        <w:rPr>
          <w:rFonts w:ascii="Times New Roman KK EK" w:eastAsia="Times New Roman" w:hAnsi="Times New Roman KK EK" w:cs="Times New Roman"/>
          <w:sz w:val="24"/>
          <w:szCs w:val="24"/>
          <w:lang w:val="uk-UA" w:eastAsia="ko-KR"/>
        </w:rPr>
      </w:pPr>
      <w:r>
        <w:rPr>
          <w:rFonts w:ascii="Times New Roman KK EK" w:eastAsia="Times New Roman" w:hAnsi="Times New Roman KK EK" w:cs="Times New Roman"/>
          <w:sz w:val="24"/>
          <w:szCs w:val="24"/>
          <w:lang w:val="uk-UA" w:eastAsia="ko-KR"/>
        </w:rPr>
        <w:t>Қаржылық тәуекел – бұл экономикалық ортаның белгісіздік жағдайында сыртқы және ішкі факторларының дамуы әсері астында ұйымға ұғынылған істері нәтижесінде алдағы болашақта жоғалтулардың пайда болуына, табысты ала алмауына, қосымша табыстарды толық ала алмау немесе алуға әкелуі мүмкін оқиғаның ықтималдық сипаттамасы.</w:t>
      </w:r>
    </w:p>
    <w:p w:rsidR="005E1539" w:rsidRDefault="005E1539" w:rsidP="005E1539">
      <w:pPr>
        <w:rPr>
          <w:rFonts w:ascii="Times New Roman KK EK" w:hAnsi="Times New Roman KK EK"/>
          <w:lang w:val="uk-UA" w:eastAsia="ko-KR"/>
        </w:rPr>
      </w:pPr>
      <w:r>
        <w:rPr>
          <w:rFonts w:ascii="Times New Roman KK EK" w:hAnsi="Times New Roman KK EK"/>
          <w:lang w:val="uk-UA" w:eastAsia="ko-KR"/>
        </w:rPr>
        <w:t>Қаржылық тәуекелінің негізгі түр санына келесілер жатады :</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қаржылық тұрақтылықтың төмендеу тәуекелі</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компанияның төлем қабілетсіздік түрі</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инвестициялық тәуекел</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инфляциялық тәуекел</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пайыздық тәуекел</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валюталық тәуекел</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депозиттік (салымдық) тәуекел</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несиелік тәуекел</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салықтық тәуекел</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инновациялық қаржылық тәуекел</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криминогендік тәуекел</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тәуекелдің басқа да түрлері.</w:t>
      </w:r>
    </w:p>
    <w:p w:rsidR="005E1539" w:rsidRPr="00CE2642" w:rsidRDefault="005E1539" w:rsidP="005E1539">
      <w:pPr>
        <w:ind w:left="360"/>
        <w:rPr>
          <w:rFonts w:ascii="Times New Roman KK EK" w:hAnsi="Times New Roman KK EK"/>
          <w:highlight w:val="yellow"/>
          <w:lang w:val="uk-UA" w:eastAsia="ko-KR"/>
        </w:rPr>
      </w:pPr>
      <w:r w:rsidRPr="00CE2642">
        <w:rPr>
          <w:rFonts w:ascii="Times New Roman KK EK" w:hAnsi="Times New Roman KK EK"/>
          <w:highlight w:val="yellow"/>
          <w:lang w:val="uk-UA" w:eastAsia="ko-KR"/>
        </w:rPr>
        <w:t>Тәуекелдің жоғары, орташа немесе төмен деңгейлерін ажыратады.</w:t>
      </w:r>
    </w:p>
    <w:p w:rsidR="005E1539" w:rsidRDefault="005E1539" w:rsidP="005E1539">
      <w:pPr>
        <w:ind w:left="360"/>
        <w:rPr>
          <w:rFonts w:ascii="Times New Roman KK EK" w:hAnsi="Times New Roman KK EK"/>
          <w:lang w:val="uk-UA" w:eastAsia="ko-KR"/>
        </w:rPr>
      </w:pPr>
      <w:r w:rsidRPr="00CE2642">
        <w:rPr>
          <w:rFonts w:ascii="Times New Roman KK EK" w:hAnsi="Times New Roman KK EK"/>
          <w:highlight w:val="yellow"/>
          <w:lang w:val="uk-UA" w:eastAsia="ko-KR"/>
        </w:rPr>
        <w:t>Тәуекелдің көлемі екі критерий арқылы өлшенеді : орташа ауытқу мәнімен (дисперсия) және мүмкін болатын нәтижелерді өзгермелілігімен (вариация).</w:t>
      </w:r>
    </w:p>
    <w:p w:rsidR="005E1539" w:rsidRDefault="005E1539" w:rsidP="005E1539">
      <w:pPr>
        <w:ind w:left="360"/>
        <w:rPr>
          <w:rFonts w:ascii="Times New Roman KK EK" w:hAnsi="Times New Roman KK EK"/>
          <w:lang w:val="uk-UA" w:eastAsia="ko-KR"/>
        </w:rPr>
      </w:pPr>
      <w:r>
        <w:rPr>
          <w:rFonts w:ascii="Times New Roman KK EK" w:hAnsi="Times New Roman KK EK"/>
          <w:lang w:val="uk-UA" w:eastAsia="ko-KR"/>
        </w:rPr>
        <w:t>Қаржылық тәуекелді басқару немесе төмендету әдістері :</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диверсификациялау</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қосымша ақпарат жинау</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шектеу (лимитирование)</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өзін-өзі сақтандыру</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сақтандыру</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хеджирлеу</w:t>
      </w:r>
    </w:p>
    <w:p w:rsidR="005E1539" w:rsidRDefault="005E1539" w:rsidP="005E1539">
      <w:pPr>
        <w:numPr>
          <w:ilvl w:val="0"/>
          <w:numId w:val="1"/>
        </w:numPr>
        <w:rPr>
          <w:rFonts w:ascii="Times New Roman KK EK" w:hAnsi="Times New Roman KK EK"/>
          <w:lang w:val="uk-UA" w:eastAsia="ko-KR"/>
        </w:rPr>
      </w:pPr>
      <w:r>
        <w:rPr>
          <w:rFonts w:ascii="Times New Roman KK EK" w:hAnsi="Times New Roman KK EK"/>
          <w:lang w:val="uk-UA" w:eastAsia="ko-KR"/>
        </w:rPr>
        <w:t>бақылау.</w:t>
      </w:r>
    </w:p>
    <w:p w:rsidR="005E1539" w:rsidRPr="00D20216" w:rsidRDefault="005E1539" w:rsidP="005E1539">
      <w:pPr>
        <w:rPr>
          <w:lang w:val="uk-UA" w:eastAsia="ko-KR"/>
        </w:rPr>
      </w:pPr>
    </w:p>
    <w:p w:rsidR="005E1539" w:rsidRPr="00D20216" w:rsidRDefault="005E1539" w:rsidP="005E1539">
      <w:pPr>
        <w:suppressAutoHyphens w:val="0"/>
        <w:ind w:right="-104" w:firstLine="360"/>
        <w:jc w:val="both"/>
        <w:rPr>
          <w:lang w:val="kk-KZ" w:eastAsia="ru-RU"/>
        </w:rPr>
      </w:pPr>
      <w:r w:rsidRPr="00D20216">
        <w:rPr>
          <w:lang w:val="kk-KZ"/>
        </w:rPr>
        <w:t xml:space="preserve">Тәуекелділіктің деңгейін анықтау кезінде ықтималдылықтарды  бөлу нәтижесінде күтілетін табыстың алыну ықтималдылығын есептеудің негізі болып табылады. Ықтималдылықты бөлу әдістері көп болған сайын әр түрлі әдіс бойынша нәтиженің ықтималдылығын анықтау жоғарлайды. Ықтималдылықтарды бөлу және олардың нәтижесін қарастыру кезінде күтілетін табыстың орташа мөлшерін анықтау мүмкіншілігі туады. </w:t>
      </w:r>
    </w:p>
    <w:p w:rsidR="005E1539" w:rsidRPr="00D20216" w:rsidRDefault="005E1539" w:rsidP="005E1539">
      <w:pPr>
        <w:rPr>
          <w:b/>
        </w:rPr>
      </w:pPr>
      <w:r w:rsidRPr="00D20216">
        <w:rPr>
          <w:b/>
          <w:position w:val="-28"/>
        </w:rPr>
        <w:object w:dxaOrig="1359" w:dyaOrig="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3pt" o:ole="">
            <v:imagedata r:id="rId6" o:title=""/>
          </v:shape>
          <o:OLEObject Type="Embed" ProgID="Equation.3" ShapeID="_x0000_i1025" DrawAspect="Content" ObjectID="_1570722522" r:id="rId7"/>
        </w:object>
      </w:r>
      <w:r w:rsidRPr="00D20216">
        <w:rPr>
          <w:b/>
          <w:position w:val="-10"/>
        </w:rPr>
        <w:object w:dxaOrig="180" w:dyaOrig="340">
          <v:shape id="_x0000_i1026" type="#_x0000_t75" style="width:9pt;height:17pt" o:ole="">
            <v:imagedata r:id="rId8" o:title=""/>
          </v:shape>
          <o:OLEObject Type="Embed" ProgID="Equation.3" ShapeID="_x0000_i1026" DrawAspect="Content" ObjectID="_1570722523" r:id="rId9"/>
        </w:object>
      </w:r>
    </w:p>
    <w:p w:rsidR="005E1539" w:rsidRPr="00D20216" w:rsidRDefault="005E1539" w:rsidP="005E1539">
      <w:pPr>
        <w:rPr>
          <w:lang w:val="ru-MO"/>
        </w:rPr>
      </w:pPr>
    </w:p>
    <w:p w:rsidR="005E1539" w:rsidRPr="00D20216" w:rsidRDefault="005E1539" w:rsidP="005E1539">
      <w:pPr>
        <w:rPr>
          <w:lang w:val="ru-MO"/>
        </w:rPr>
      </w:pPr>
      <w:r w:rsidRPr="00D20216">
        <w:rPr>
          <w:position w:val="-4"/>
          <w:lang w:val="ru-MO"/>
        </w:rPr>
        <w:object w:dxaOrig="400" w:dyaOrig="420">
          <v:shape id="_x0000_i1027" type="#_x0000_t75" style="width:20pt;height:21pt" o:ole="">
            <v:imagedata r:id="rId10" o:title=""/>
          </v:shape>
          <o:OLEObject Type="Embed" ProgID="Equation.3" ShapeID="_x0000_i1027" DrawAspect="Content" ObjectID="_1570722524" r:id="rId11"/>
        </w:object>
      </w:r>
      <w:r w:rsidRPr="00D20216">
        <w:rPr>
          <w:lang w:val="ru-MO"/>
        </w:rPr>
        <w:t>күтілетін табыс мөлшері</w:t>
      </w:r>
    </w:p>
    <w:p w:rsidR="005E1539" w:rsidRPr="00D20216" w:rsidRDefault="005E1539" w:rsidP="005E1539">
      <w:pPr>
        <w:rPr>
          <w:lang w:val="ru-MO"/>
        </w:rPr>
      </w:pPr>
      <w:r w:rsidRPr="00D20216">
        <w:rPr>
          <w:position w:val="-12"/>
          <w:lang w:val="ru-MO"/>
        </w:rPr>
        <w:object w:dxaOrig="520" w:dyaOrig="360">
          <v:shape id="_x0000_i1028" type="#_x0000_t75" style="width:26pt;height:18pt" o:ole="">
            <v:imagedata r:id="rId12" o:title=""/>
          </v:shape>
          <o:OLEObject Type="Embed" ProgID="Equation.3" ShapeID="_x0000_i1028" DrawAspect="Content" ObjectID="_1570722525" r:id="rId13"/>
        </w:object>
      </w:r>
      <w:r w:rsidRPr="00D20216">
        <w:rPr>
          <w:lang w:val="ru-MO"/>
        </w:rPr>
        <w:t>ықтималдылық нәтижесінің саны</w:t>
      </w:r>
    </w:p>
    <w:p w:rsidR="005E1539" w:rsidRPr="00D20216" w:rsidRDefault="005E1539" w:rsidP="005E1539">
      <w:pPr>
        <w:rPr>
          <w:lang w:val="ru-MO"/>
        </w:rPr>
      </w:pPr>
      <w:r w:rsidRPr="00D20216">
        <w:rPr>
          <w:position w:val="-12"/>
          <w:lang w:val="ru-MO"/>
        </w:rPr>
        <w:object w:dxaOrig="460" w:dyaOrig="360">
          <v:shape id="_x0000_i1029" type="#_x0000_t75" style="width:23pt;height:18pt" o:ole="">
            <v:imagedata r:id="rId14" o:title=""/>
          </v:shape>
          <o:OLEObject Type="Embed" ProgID="Equation.3" ShapeID="_x0000_i1029" DrawAspect="Content" ObjectID="_1570722526" r:id="rId15"/>
        </w:object>
      </w:r>
      <w:r w:rsidRPr="00D20216">
        <w:rPr>
          <w:lang w:val="ru-MO"/>
        </w:rPr>
        <w:t>әрбір әдіс бойынша ықтималдылықтың пайда болуы</w:t>
      </w:r>
    </w:p>
    <w:p w:rsidR="005E1539" w:rsidRPr="00D20216" w:rsidRDefault="005E1539" w:rsidP="005E1539">
      <w:pPr>
        <w:rPr>
          <w:lang w:val="ru-MO"/>
        </w:rPr>
      </w:pPr>
      <w:r w:rsidRPr="00D20216">
        <w:rPr>
          <w:position w:val="-6"/>
          <w:lang w:val="ru-MO"/>
        </w:rPr>
        <w:object w:dxaOrig="380" w:dyaOrig="220">
          <v:shape id="_x0000_i1030" type="#_x0000_t75" style="width:19pt;height:11pt" o:ole="" o:bullet="t">
            <v:imagedata r:id="rId16" o:title=""/>
          </v:shape>
          <o:OLEObject Type="Embed" ProgID="Equation.3" ShapeID="_x0000_i1030" DrawAspect="Content" ObjectID="_1570722527" r:id="rId17"/>
        </w:object>
      </w:r>
      <w:r w:rsidRPr="00D20216">
        <w:rPr>
          <w:lang w:val="ru-MO"/>
        </w:rPr>
        <w:t>пайда болатын нәтижесінің саны</w:t>
      </w:r>
    </w:p>
    <w:p w:rsidR="005E1539" w:rsidRPr="00D20216" w:rsidRDefault="005E1539" w:rsidP="005E1539">
      <w:pPr>
        <w:ind w:right="-104"/>
        <w:jc w:val="both"/>
        <w:rPr>
          <w:lang w:val="ru-MO"/>
        </w:rPr>
      </w:pPr>
    </w:p>
    <w:p w:rsidR="005E1539" w:rsidRPr="00D20216" w:rsidRDefault="005E1539" w:rsidP="005E1539">
      <w:pPr>
        <w:ind w:right="-104"/>
        <w:jc w:val="both"/>
        <w:rPr>
          <w:lang w:val="kk-KZ"/>
        </w:rPr>
      </w:pPr>
      <w:proofErr w:type="spellStart"/>
      <w:r w:rsidRPr="00D20216">
        <w:rPr>
          <w:i/>
        </w:rPr>
        <w:t>Тәуекелділікті</w:t>
      </w:r>
      <w:proofErr w:type="spellEnd"/>
      <w:r w:rsidRPr="00D20216">
        <w:rPr>
          <w:i/>
          <w:lang w:val="ru-MO"/>
        </w:rPr>
        <w:t xml:space="preserve"> </w:t>
      </w:r>
      <w:proofErr w:type="spellStart"/>
      <w:r w:rsidRPr="00D20216">
        <w:rPr>
          <w:i/>
        </w:rPr>
        <w:t>бағалау</w:t>
      </w:r>
      <w:proofErr w:type="spellEnd"/>
      <w:r w:rsidRPr="00D20216">
        <w:rPr>
          <w:i/>
          <w:lang w:val="ru-MO"/>
        </w:rPr>
        <w:t xml:space="preserve"> </w:t>
      </w:r>
      <w:proofErr w:type="spellStart"/>
      <w:r w:rsidRPr="00D20216">
        <w:rPr>
          <w:i/>
        </w:rPr>
        <w:t>және</w:t>
      </w:r>
      <w:proofErr w:type="spellEnd"/>
      <w:r w:rsidRPr="00D20216">
        <w:rPr>
          <w:i/>
          <w:lang w:val="ru-MO"/>
        </w:rPr>
        <w:t xml:space="preserve"> </w:t>
      </w:r>
      <w:proofErr w:type="spellStart"/>
      <w:r w:rsidRPr="00D20216">
        <w:rPr>
          <w:i/>
        </w:rPr>
        <w:t>деңгейін</w:t>
      </w:r>
      <w:proofErr w:type="spellEnd"/>
      <w:r w:rsidRPr="00D20216">
        <w:rPr>
          <w:i/>
          <w:lang w:val="ru-MO"/>
        </w:rPr>
        <w:t xml:space="preserve"> </w:t>
      </w:r>
      <w:proofErr w:type="spellStart"/>
      <w:r w:rsidRPr="00D20216">
        <w:rPr>
          <w:i/>
        </w:rPr>
        <w:t>анықтау</w:t>
      </w:r>
      <w:proofErr w:type="spellEnd"/>
      <w:r w:rsidRPr="00D20216">
        <w:rPr>
          <w:i/>
          <w:lang w:val="ru-MO"/>
        </w:rPr>
        <w:t xml:space="preserve"> </w:t>
      </w:r>
      <w:proofErr w:type="spellStart"/>
      <w:r w:rsidRPr="00D20216">
        <w:rPr>
          <w:i/>
        </w:rPr>
        <w:t>әдістері</w:t>
      </w:r>
      <w:proofErr w:type="spellEnd"/>
      <w:r w:rsidRPr="00D20216">
        <w:rPr>
          <w:i/>
          <w:lang w:val="ru-MO"/>
        </w:rPr>
        <w:t>:</w:t>
      </w:r>
    </w:p>
    <w:p w:rsidR="005E1539" w:rsidRPr="00D20216" w:rsidRDefault="005E1539" w:rsidP="005E1539">
      <w:pPr>
        <w:ind w:right="-104"/>
        <w:jc w:val="both"/>
        <w:rPr>
          <w:i/>
          <w:lang w:val="ru-MO"/>
        </w:rPr>
      </w:pPr>
    </w:p>
    <w:p w:rsidR="005E1539" w:rsidRPr="00D20216" w:rsidRDefault="005E1539" w:rsidP="005E1539">
      <w:pPr>
        <w:numPr>
          <w:ilvl w:val="0"/>
          <w:numId w:val="2"/>
        </w:numPr>
        <w:ind w:right="-104"/>
        <w:jc w:val="both"/>
      </w:pPr>
      <w:r w:rsidRPr="00D20216">
        <w:t>Дисперсия</w:t>
      </w:r>
    </w:p>
    <w:p w:rsidR="005E1539" w:rsidRPr="00D20216" w:rsidRDefault="005E1539" w:rsidP="005E1539">
      <w:pPr>
        <w:numPr>
          <w:ilvl w:val="0"/>
          <w:numId w:val="2"/>
        </w:numPr>
        <w:ind w:right="-104"/>
        <w:jc w:val="both"/>
      </w:pPr>
      <w:proofErr w:type="spellStart"/>
      <w:r w:rsidRPr="00D20216">
        <w:t>Орташа</w:t>
      </w:r>
      <w:proofErr w:type="spellEnd"/>
      <w:r w:rsidRPr="00D20216">
        <w:t xml:space="preserve"> </w:t>
      </w:r>
      <w:proofErr w:type="spellStart"/>
      <w:r w:rsidRPr="00D20216">
        <w:t>квадраттық</w:t>
      </w:r>
      <w:proofErr w:type="spellEnd"/>
      <w:r w:rsidRPr="00D20216">
        <w:t xml:space="preserve"> </w:t>
      </w:r>
      <w:proofErr w:type="spellStart"/>
      <w:r w:rsidRPr="00D20216">
        <w:t>ауытқу</w:t>
      </w:r>
      <w:proofErr w:type="spellEnd"/>
      <w:r w:rsidRPr="00D20216">
        <w:t xml:space="preserve"> </w:t>
      </w:r>
    </w:p>
    <w:p w:rsidR="005E1539" w:rsidRPr="00D20216" w:rsidRDefault="005E1539" w:rsidP="005E1539">
      <w:pPr>
        <w:numPr>
          <w:ilvl w:val="0"/>
          <w:numId w:val="2"/>
        </w:numPr>
        <w:ind w:right="-104"/>
        <w:jc w:val="both"/>
      </w:pPr>
      <w:proofErr w:type="spellStart"/>
      <w:r w:rsidRPr="00D20216">
        <w:lastRenderedPageBreak/>
        <w:t>Вариациялық</w:t>
      </w:r>
      <w:proofErr w:type="spellEnd"/>
      <w:r w:rsidRPr="00D20216">
        <w:t xml:space="preserve"> коэффициент.</w:t>
      </w:r>
    </w:p>
    <w:p w:rsidR="005E1539" w:rsidRPr="00D20216" w:rsidRDefault="005E1539" w:rsidP="005E1539">
      <w:pPr>
        <w:ind w:right="-104"/>
        <w:jc w:val="both"/>
      </w:pPr>
      <w:r w:rsidRPr="00D20216">
        <w:rPr>
          <w:i/>
        </w:rPr>
        <w:t>Дисперсия―</w:t>
      </w:r>
      <w:r w:rsidRPr="00D20216">
        <w:t xml:space="preserve"> </w:t>
      </w:r>
      <w:proofErr w:type="spellStart"/>
      <w:r w:rsidRPr="00D20216">
        <w:t>дегеніміз</w:t>
      </w:r>
      <w:proofErr w:type="spellEnd"/>
      <w:r w:rsidRPr="00D20216">
        <w:t xml:space="preserve"> </w:t>
      </w:r>
      <w:proofErr w:type="spellStart"/>
      <w:r w:rsidRPr="00D20216">
        <w:t>күтілетін</w:t>
      </w:r>
      <w:proofErr w:type="spellEnd"/>
      <w:r w:rsidRPr="00D20216">
        <w:t xml:space="preserve"> </w:t>
      </w:r>
      <w:proofErr w:type="spellStart"/>
      <w:r w:rsidRPr="00D20216">
        <w:t>көрсеткішке</w:t>
      </w:r>
      <w:proofErr w:type="spellEnd"/>
      <w:r w:rsidRPr="00D20216">
        <w:t xml:space="preserve"> </w:t>
      </w:r>
      <w:proofErr w:type="spellStart"/>
      <w:r w:rsidRPr="00D20216">
        <w:t>қатысты</w:t>
      </w:r>
      <w:proofErr w:type="spellEnd"/>
      <w:r w:rsidRPr="00D20216">
        <w:t xml:space="preserve"> </w:t>
      </w:r>
      <w:proofErr w:type="spellStart"/>
      <w:r w:rsidRPr="00D20216">
        <w:t>ықтималдылық</w:t>
      </w:r>
      <w:proofErr w:type="spellEnd"/>
      <w:r w:rsidRPr="00D20216">
        <w:t xml:space="preserve"> </w:t>
      </w:r>
      <w:proofErr w:type="spellStart"/>
      <w:r w:rsidRPr="00D20216">
        <w:t>нәтижесінің</w:t>
      </w:r>
      <w:proofErr w:type="spellEnd"/>
      <w:r w:rsidRPr="00D20216">
        <w:t xml:space="preserve"> </w:t>
      </w:r>
      <w:proofErr w:type="spellStart"/>
      <w:r w:rsidRPr="00D20216">
        <w:t>жан-жақтылық</w:t>
      </w:r>
      <w:proofErr w:type="spellEnd"/>
      <w:r w:rsidRPr="00D20216">
        <w:t xml:space="preserve"> </w:t>
      </w:r>
      <w:proofErr w:type="spellStart"/>
      <w:r w:rsidRPr="00D20216">
        <w:t>немесе</w:t>
      </w:r>
      <w:proofErr w:type="spellEnd"/>
      <w:r w:rsidRPr="00D20216">
        <w:t xml:space="preserve"> </w:t>
      </w:r>
      <w:proofErr w:type="spellStart"/>
      <w:r w:rsidRPr="00D20216">
        <w:t>бытыраңқылық</w:t>
      </w:r>
      <w:proofErr w:type="spellEnd"/>
      <w:r w:rsidRPr="00D20216">
        <w:t xml:space="preserve"> </w:t>
      </w:r>
      <w:proofErr w:type="spellStart"/>
      <w:r w:rsidRPr="00D20216">
        <w:t>шаралары</w:t>
      </w:r>
      <w:proofErr w:type="spellEnd"/>
      <w:r w:rsidRPr="00D20216">
        <w:t xml:space="preserve">. Дисперсия </w:t>
      </w:r>
      <w:proofErr w:type="spellStart"/>
      <w:r w:rsidRPr="00D20216">
        <w:t>жоғары</w:t>
      </w:r>
      <w:proofErr w:type="spellEnd"/>
      <w:r w:rsidRPr="00D20216">
        <w:t xml:space="preserve"> </w:t>
      </w:r>
      <w:proofErr w:type="spellStart"/>
      <w:r w:rsidRPr="00D20216">
        <w:t>болған</w:t>
      </w:r>
      <w:proofErr w:type="spellEnd"/>
      <w:r w:rsidRPr="00D20216">
        <w:t xml:space="preserve"> </w:t>
      </w:r>
      <w:proofErr w:type="spellStart"/>
      <w:r w:rsidRPr="00D20216">
        <w:t>сайын</w:t>
      </w:r>
      <w:proofErr w:type="spellEnd"/>
      <w:r w:rsidRPr="00D20216">
        <w:t xml:space="preserve"> </w:t>
      </w:r>
      <w:proofErr w:type="spellStart"/>
      <w:r w:rsidRPr="00D20216">
        <w:t>тәуекелділіктің</w:t>
      </w:r>
      <w:proofErr w:type="spellEnd"/>
      <w:r w:rsidRPr="00D20216">
        <w:t xml:space="preserve"> </w:t>
      </w:r>
      <w:proofErr w:type="spellStart"/>
      <w:r w:rsidRPr="00D20216">
        <w:t>жан-жақтылығы</w:t>
      </w:r>
      <w:proofErr w:type="spellEnd"/>
      <w:r w:rsidRPr="00D20216">
        <w:t xml:space="preserve"> да </w:t>
      </w:r>
      <w:proofErr w:type="spellStart"/>
      <w:r w:rsidRPr="00D20216">
        <w:t>жоғары</w:t>
      </w:r>
      <w:proofErr w:type="spellEnd"/>
      <w:r w:rsidRPr="00D20216">
        <w:t xml:space="preserve"> </w:t>
      </w:r>
      <w:proofErr w:type="spellStart"/>
      <w:r w:rsidRPr="00D20216">
        <w:t>болады</w:t>
      </w:r>
      <w:proofErr w:type="spellEnd"/>
      <w:r w:rsidRPr="00D20216">
        <w:t xml:space="preserve">. </w:t>
      </w:r>
    </w:p>
    <w:p w:rsidR="005E1539" w:rsidRPr="00D20216" w:rsidRDefault="005E1539" w:rsidP="005E1539">
      <w:pPr>
        <w:rPr>
          <w:lang w:val="ru-MO"/>
        </w:rPr>
      </w:pPr>
      <w:r w:rsidRPr="00D20216">
        <w:rPr>
          <w:position w:val="-28"/>
          <w:lang w:val="ru-MO"/>
        </w:rPr>
        <w:object w:dxaOrig="2200" w:dyaOrig="720">
          <v:shape id="_x0000_i1031" type="#_x0000_t75" style="width:110pt;height:36pt" o:ole="">
            <v:imagedata r:id="rId18" o:title=""/>
          </v:shape>
          <o:OLEObject Type="Embed" ProgID="Equation.3" ShapeID="_x0000_i1031" DrawAspect="Content" ObjectID="_1570722528" r:id="rId19"/>
        </w:object>
      </w:r>
    </w:p>
    <w:p w:rsidR="005E1539" w:rsidRPr="00D20216" w:rsidRDefault="005E1539" w:rsidP="005E1539">
      <w:pPr>
        <w:ind w:right="-104" w:firstLine="540"/>
        <w:jc w:val="both"/>
        <w:rPr>
          <w:lang w:val="kk-KZ"/>
        </w:rPr>
      </w:pPr>
      <w:r w:rsidRPr="00D20216">
        <w:rPr>
          <w:lang w:val="kk-KZ"/>
        </w:rPr>
        <w:t>Дисперсияның формуласынан көрініп тұрғандай ол орташа күтілетін нәтиженің ауытқуының квадраты ретінде немесе әрбір ықтималдылық бойынша ауытқулардың орташа мөлшерін көрсетеді. Дисперсияны тәуекелділіктің деңгейін көрсететін өлшем бірлікте өлшейді. Тәуекелділіктің деңгейі процентпен анықталуына байланысты дисперсия процентінің квадраты ретінде қарастырылады. Тәуекелділікті бағалау және өлшеу іс-жүзінде қиындатылған көрсеткіш болғандықтан кейін қолданылмайды. Сондықтан тәжірибеде тәуекелдің деңгейін бағалау әрбір жеке нәтижесінің жан-жақтылығын немесе бытыраңқылығын өлшейтін екінші көрсеткіш арқылы жүзеге асырылады. Ол орташа квадраттық ауытқу немесе дисперсияның түбірінен қарастырылатын көрсеткіш.</w:t>
      </w:r>
    </w:p>
    <w:p w:rsidR="005E1539" w:rsidRPr="00D20216" w:rsidRDefault="005E1539" w:rsidP="005E1539">
      <w:pPr>
        <w:ind w:right="-104"/>
        <w:jc w:val="both"/>
      </w:pPr>
      <w:r w:rsidRPr="00D20216">
        <w:rPr>
          <w:position w:val="-30"/>
          <w:lang w:val="ru-MO"/>
        </w:rPr>
        <w:object w:dxaOrig="2960" w:dyaOrig="800">
          <v:shape id="_x0000_i1032" type="#_x0000_t75" style="width:148pt;height:40pt" o:ole="">
            <v:imagedata r:id="rId20" o:title=""/>
          </v:shape>
          <o:OLEObject Type="Embed" ProgID="Equation.3" ShapeID="_x0000_i1032" DrawAspect="Content" ObjectID="_1570722529" r:id="rId21"/>
        </w:object>
      </w:r>
    </w:p>
    <w:p w:rsidR="005E1539" w:rsidRPr="00D20216" w:rsidRDefault="005E1539" w:rsidP="005E1539">
      <w:pPr>
        <w:ind w:right="-104"/>
        <w:jc w:val="both"/>
        <w:rPr>
          <w:lang w:val="kk-KZ"/>
        </w:rPr>
      </w:pPr>
      <w:proofErr w:type="spellStart"/>
      <w:r w:rsidRPr="00D20216">
        <w:t>Күтілетін</w:t>
      </w:r>
      <w:proofErr w:type="spellEnd"/>
      <w:r w:rsidRPr="00D20216">
        <w:t xml:space="preserve"> </w:t>
      </w:r>
      <w:proofErr w:type="spellStart"/>
      <w:r w:rsidRPr="00D20216">
        <w:t>табыстылық</w:t>
      </w:r>
      <w:proofErr w:type="spellEnd"/>
      <w:r w:rsidRPr="00D20216">
        <w:t xml:space="preserve"> </w:t>
      </w:r>
      <w:proofErr w:type="spellStart"/>
      <w:r w:rsidRPr="00D20216">
        <w:t>жоғары</w:t>
      </w:r>
      <w:proofErr w:type="spellEnd"/>
      <w:r w:rsidRPr="00D20216">
        <w:t xml:space="preserve"> </w:t>
      </w:r>
      <w:proofErr w:type="spellStart"/>
      <w:r w:rsidRPr="00D20216">
        <w:t>болған</w:t>
      </w:r>
      <w:proofErr w:type="spellEnd"/>
      <w:r w:rsidRPr="00D20216">
        <w:t xml:space="preserve"> </w:t>
      </w:r>
      <w:proofErr w:type="spellStart"/>
      <w:r w:rsidRPr="00D20216">
        <w:t>сайын</w:t>
      </w:r>
      <w:proofErr w:type="spellEnd"/>
      <w:r w:rsidRPr="00D20216">
        <w:t xml:space="preserve"> </w:t>
      </w:r>
      <w:proofErr w:type="spellStart"/>
      <w:r w:rsidRPr="00D20216">
        <w:t>оның</w:t>
      </w:r>
      <w:proofErr w:type="spellEnd"/>
      <w:r w:rsidRPr="00D20216">
        <w:t xml:space="preserve"> </w:t>
      </w:r>
      <w:proofErr w:type="spellStart"/>
      <w:r w:rsidRPr="00D20216">
        <w:t>орташа</w:t>
      </w:r>
      <w:proofErr w:type="spellEnd"/>
      <w:r w:rsidRPr="00D20216">
        <w:t xml:space="preserve"> </w:t>
      </w:r>
      <w:proofErr w:type="spellStart"/>
      <w:r w:rsidRPr="00D20216">
        <w:t>квадраттық</w:t>
      </w:r>
      <w:proofErr w:type="spellEnd"/>
      <w:r w:rsidRPr="00D20216">
        <w:t xml:space="preserve"> </w:t>
      </w:r>
      <w:proofErr w:type="spellStart"/>
      <w:r w:rsidRPr="00D20216">
        <w:t>ауытқу</w:t>
      </w:r>
      <w:proofErr w:type="spellEnd"/>
      <w:r w:rsidRPr="00D20216">
        <w:t xml:space="preserve"> </w:t>
      </w:r>
      <w:proofErr w:type="spellStart"/>
      <w:r w:rsidRPr="00D20216">
        <w:t>мөлшері</w:t>
      </w:r>
      <w:proofErr w:type="spellEnd"/>
      <w:r w:rsidRPr="00D20216">
        <w:t xml:space="preserve"> де </w:t>
      </w:r>
      <w:proofErr w:type="spellStart"/>
      <w:r w:rsidRPr="00D20216">
        <w:t>жоғары</w:t>
      </w:r>
      <w:proofErr w:type="spellEnd"/>
      <w:r w:rsidRPr="00D20216">
        <w:t xml:space="preserve"> </w:t>
      </w:r>
      <w:proofErr w:type="spellStart"/>
      <w:r w:rsidRPr="00D20216">
        <w:t>болады</w:t>
      </w:r>
      <w:proofErr w:type="spellEnd"/>
      <w:r w:rsidRPr="00D20216">
        <w:t xml:space="preserve">. </w:t>
      </w:r>
      <w:proofErr w:type="spellStart"/>
      <w:r w:rsidRPr="00D20216">
        <w:t>Егер</w:t>
      </w:r>
      <w:proofErr w:type="spellEnd"/>
      <w:r w:rsidRPr="00D20216">
        <w:t xml:space="preserve"> </w:t>
      </w:r>
      <w:proofErr w:type="spellStart"/>
      <w:r w:rsidRPr="00D20216">
        <w:t>белгілі</w:t>
      </w:r>
      <w:proofErr w:type="spellEnd"/>
      <w:r w:rsidRPr="00D20216">
        <w:t xml:space="preserve"> </w:t>
      </w:r>
      <w:proofErr w:type="spellStart"/>
      <w:r w:rsidRPr="00D20216">
        <w:t>бір</w:t>
      </w:r>
      <w:proofErr w:type="spellEnd"/>
      <w:r w:rsidRPr="00D20216">
        <w:t xml:space="preserve"> </w:t>
      </w:r>
      <w:proofErr w:type="spellStart"/>
      <w:r w:rsidRPr="00D20216">
        <w:t>жоба</w:t>
      </w:r>
      <w:proofErr w:type="spellEnd"/>
      <w:r w:rsidRPr="00D20216">
        <w:t xml:space="preserve"> </w:t>
      </w:r>
      <w:proofErr w:type="spellStart"/>
      <w:r w:rsidRPr="00D20216">
        <w:t>бойынша</w:t>
      </w:r>
      <w:proofErr w:type="spellEnd"/>
      <w:r w:rsidRPr="00D20216">
        <w:t xml:space="preserve"> </w:t>
      </w:r>
      <w:proofErr w:type="spellStart"/>
      <w:r w:rsidRPr="00D20216">
        <w:t>табыстылықты</w:t>
      </w:r>
      <w:proofErr w:type="spellEnd"/>
      <w:r w:rsidRPr="00D20216">
        <w:t xml:space="preserve"> </w:t>
      </w:r>
      <w:proofErr w:type="spellStart"/>
      <w:r w:rsidRPr="00D20216">
        <w:t>бөлу</w:t>
      </w:r>
      <w:proofErr w:type="spellEnd"/>
      <w:r w:rsidRPr="00D20216">
        <w:t xml:space="preserve"> </w:t>
      </w:r>
      <w:proofErr w:type="spellStart"/>
      <w:r w:rsidRPr="00D20216">
        <w:t>бір</w:t>
      </w:r>
      <w:proofErr w:type="spellEnd"/>
      <w:r w:rsidRPr="00D20216">
        <w:t xml:space="preserve"> </w:t>
      </w:r>
      <w:proofErr w:type="spellStart"/>
      <w:r w:rsidRPr="00D20216">
        <w:t>қалыпты</w:t>
      </w:r>
      <w:proofErr w:type="spellEnd"/>
      <w:r w:rsidRPr="00D20216">
        <w:t xml:space="preserve"> </w:t>
      </w:r>
      <w:proofErr w:type="spellStart"/>
      <w:r w:rsidRPr="00D20216">
        <w:t>жүргізілетін</w:t>
      </w:r>
      <w:proofErr w:type="spellEnd"/>
      <w:r w:rsidRPr="00D20216">
        <w:t xml:space="preserve"> </w:t>
      </w:r>
      <w:proofErr w:type="spellStart"/>
      <w:r w:rsidRPr="00D20216">
        <w:t>болса</w:t>
      </w:r>
      <w:proofErr w:type="spellEnd"/>
      <w:r w:rsidRPr="00D20216">
        <w:t xml:space="preserve">, осы </w:t>
      </w:r>
      <w:proofErr w:type="spellStart"/>
      <w:r w:rsidRPr="00D20216">
        <w:t>жобаның</w:t>
      </w:r>
      <w:proofErr w:type="spellEnd"/>
      <w:r w:rsidRPr="00D20216">
        <w:t xml:space="preserve"> </w:t>
      </w:r>
      <w:proofErr w:type="spellStart"/>
      <w:r w:rsidRPr="00D20216">
        <w:t>күтілетін</w:t>
      </w:r>
      <w:proofErr w:type="spellEnd"/>
      <w:r w:rsidRPr="00D20216">
        <w:t xml:space="preserve"> </w:t>
      </w:r>
      <w:proofErr w:type="spellStart"/>
      <w:r w:rsidRPr="00D20216">
        <w:t>нәтижесі</w:t>
      </w:r>
      <w:proofErr w:type="spellEnd"/>
      <w:r w:rsidRPr="00D20216">
        <w:t xml:space="preserve"> </w:t>
      </w:r>
      <w:proofErr w:type="spellStart"/>
      <w:r w:rsidRPr="00D20216">
        <w:t>теріс</w:t>
      </w:r>
      <w:proofErr w:type="spellEnd"/>
      <w:r w:rsidRPr="00D20216">
        <w:t xml:space="preserve"> болу </w:t>
      </w:r>
      <w:proofErr w:type="spellStart"/>
      <w:r w:rsidRPr="00D20216">
        <w:t>ықтималдылығы</w:t>
      </w:r>
      <w:proofErr w:type="spellEnd"/>
      <w:r w:rsidRPr="00D20216">
        <w:t xml:space="preserve">, </w:t>
      </w:r>
      <w:proofErr w:type="spellStart"/>
      <w:r w:rsidRPr="00D20216">
        <w:t>оның</w:t>
      </w:r>
      <w:proofErr w:type="spellEnd"/>
      <w:r w:rsidRPr="00D20216">
        <w:t xml:space="preserve"> </w:t>
      </w:r>
      <w:proofErr w:type="spellStart"/>
      <w:r w:rsidRPr="00D20216">
        <w:t>орташа</w:t>
      </w:r>
      <w:proofErr w:type="spellEnd"/>
      <w:r w:rsidRPr="00D20216">
        <w:t xml:space="preserve"> </w:t>
      </w:r>
      <w:proofErr w:type="spellStart"/>
      <w:r w:rsidRPr="00D20216">
        <w:t>квадраттық</w:t>
      </w:r>
      <w:proofErr w:type="spellEnd"/>
      <w:r w:rsidRPr="00D20216">
        <w:t xml:space="preserve"> </w:t>
      </w:r>
      <w:proofErr w:type="spellStart"/>
      <w:r w:rsidRPr="00D20216">
        <w:t>ауытқуының</w:t>
      </w:r>
      <w:proofErr w:type="spellEnd"/>
      <w:r w:rsidRPr="00D20216">
        <w:t xml:space="preserve"> </w:t>
      </w:r>
      <w:proofErr w:type="spellStart"/>
      <w:r w:rsidRPr="00D20216">
        <w:t>қң</w:t>
      </w:r>
      <w:proofErr w:type="spellEnd"/>
      <w:r w:rsidRPr="00D20216">
        <w:t xml:space="preserve"> </w:t>
      </w:r>
      <w:proofErr w:type="spellStart"/>
      <w:r w:rsidRPr="00D20216">
        <w:t>нәтиже</w:t>
      </w:r>
      <w:proofErr w:type="spellEnd"/>
      <w:r w:rsidRPr="00D20216">
        <w:t xml:space="preserve"> </w:t>
      </w:r>
      <w:proofErr w:type="spellStart"/>
      <w:r w:rsidRPr="00D20216">
        <w:t>беретініне</w:t>
      </w:r>
      <w:proofErr w:type="spellEnd"/>
      <w:r w:rsidRPr="00D20216">
        <w:t xml:space="preserve"> </w:t>
      </w:r>
      <w:proofErr w:type="spellStart"/>
      <w:r w:rsidRPr="00D20216">
        <w:t>қарамастан</w:t>
      </w:r>
      <w:proofErr w:type="spellEnd"/>
      <w:r w:rsidRPr="00D20216">
        <w:t xml:space="preserve"> </w:t>
      </w:r>
      <w:proofErr w:type="spellStart"/>
      <w:r w:rsidRPr="00D20216">
        <w:t>ықтималдылығы</w:t>
      </w:r>
      <w:proofErr w:type="spellEnd"/>
      <w:r w:rsidRPr="00D20216">
        <w:t xml:space="preserve"> </w:t>
      </w:r>
      <w:proofErr w:type="spellStart"/>
      <w:r w:rsidRPr="00D20216">
        <w:t>төмен</w:t>
      </w:r>
      <w:proofErr w:type="spellEnd"/>
      <w:r w:rsidRPr="00D20216">
        <w:t xml:space="preserve"> </w:t>
      </w:r>
      <w:proofErr w:type="spellStart"/>
      <w:r w:rsidRPr="00D20216">
        <w:t>болады</w:t>
      </w:r>
      <w:proofErr w:type="spellEnd"/>
      <w:r w:rsidRPr="00D20216">
        <w:t xml:space="preserve">. </w:t>
      </w:r>
      <w:proofErr w:type="spellStart"/>
      <w:r w:rsidRPr="00D20216">
        <w:t>Сондықтан</w:t>
      </w:r>
      <w:proofErr w:type="spellEnd"/>
      <w:r w:rsidRPr="00D20216">
        <w:t xml:space="preserve"> </w:t>
      </w:r>
      <w:proofErr w:type="spellStart"/>
      <w:r w:rsidRPr="00D20216">
        <w:t>табыстың</w:t>
      </w:r>
      <w:proofErr w:type="spellEnd"/>
      <w:r w:rsidRPr="00D20216">
        <w:t xml:space="preserve"> </w:t>
      </w:r>
      <w:proofErr w:type="spellStart"/>
      <w:r w:rsidRPr="00D20216">
        <w:t>бірлігіне</w:t>
      </w:r>
      <w:proofErr w:type="spellEnd"/>
      <w:r w:rsidRPr="00D20216">
        <w:t xml:space="preserve"> </w:t>
      </w:r>
      <w:proofErr w:type="spellStart"/>
      <w:r w:rsidRPr="00D20216">
        <w:t>тәуекелділшікті</w:t>
      </w:r>
      <w:proofErr w:type="spellEnd"/>
      <w:r w:rsidRPr="00D20216">
        <w:t xml:space="preserve"> </w:t>
      </w:r>
      <w:proofErr w:type="spellStart"/>
      <w:r w:rsidRPr="00D20216">
        <w:t>есептеу</w:t>
      </w:r>
      <w:proofErr w:type="spellEnd"/>
      <w:r w:rsidRPr="00D20216">
        <w:t xml:space="preserve"> </w:t>
      </w:r>
      <w:proofErr w:type="spellStart"/>
      <w:r w:rsidRPr="00D20216">
        <w:t>орташа</w:t>
      </w:r>
      <w:proofErr w:type="spellEnd"/>
      <w:r w:rsidRPr="00D20216">
        <w:t xml:space="preserve"> </w:t>
      </w:r>
      <w:proofErr w:type="spellStart"/>
      <w:r w:rsidRPr="00D20216">
        <w:t>квадраттық</w:t>
      </w:r>
      <w:proofErr w:type="spellEnd"/>
      <w:r w:rsidRPr="00D20216">
        <w:t xml:space="preserve"> </w:t>
      </w:r>
      <w:proofErr w:type="spellStart"/>
      <w:r w:rsidRPr="00D20216">
        <w:t>ауытқуды</w:t>
      </w:r>
      <w:proofErr w:type="spellEnd"/>
      <w:r w:rsidRPr="00D20216">
        <w:t xml:space="preserve"> </w:t>
      </w:r>
      <w:proofErr w:type="spellStart"/>
      <w:r w:rsidRPr="00D20216">
        <w:t>стандарттау</w:t>
      </w:r>
      <w:proofErr w:type="spellEnd"/>
      <w:r w:rsidRPr="00D20216">
        <w:t xml:space="preserve"> </w:t>
      </w:r>
      <w:proofErr w:type="spellStart"/>
      <w:r w:rsidRPr="00D20216">
        <w:t>арқылы</w:t>
      </w:r>
      <w:proofErr w:type="spellEnd"/>
      <w:r w:rsidRPr="00D20216">
        <w:t xml:space="preserve"> </w:t>
      </w:r>
      <w:proofErr w:type="spellStart"/>
      <w:r w:rsidRPr="00D20216">
        <w:t>немесе</w:t>
      </w:r>
      <w:proofErr w:type="spellEnd"/>
      <w:r w:rsidRPr="00D20216">
        <w:t xml:space="preserve"> </w:t>
      </w:r>
      <w:proofErr w:type="spellStart"/>
      <w:r w:rsidRPr="00D20216">
        <w:t>вариациялық</w:t>
      </w:r>
      <w:proofErr w:type="spellEnd"/>
      <w:r w:rsidRPr="00D20216">
        <w:t xml:space="preserve"> коэффициент </w:t>
      </w:r>
      <w:proofErr w:type="spellStart"/>
      <w:r w:rsidRPr="00D20216">
        <w:t>арқылы</w:t>
      </w:r>
      <w:proofErr w:type="spellEnd"/>
      <w:r w:rsidRPr="00D20216">
        <w:t xml:space="preserve"> </w:t>
      </w:r>
      <w:proofErr w:type="spellStart"/>
      <w:r w:rsidRPr="00D20216">
        <w:t>жүргізіледі</w:t>
      </w:r>
      <w:proofErr w:type="spellEnd"/>
      <w:r w:rsidRPr="00D20216">
        <w:t xml:space="preserve">. </w:t>
      </w:r>
      <w:proofErr w:type="spellStart"/>
      <w:r w:rsidRPr="00D20216">
        <w:t>Вариациялық</w:t>
      </w:r>
      <w:proofErr w:type="spellEnd"/>
      <w:r w:rsidRPr="00D20216">
        <w:t xml:space="preserve"> </w:t>
      </w:r>
      <w:proofErr w:type="spellStart"/>
      <w:r w:rsidRPr="00D20216">
        <w:t>коэффициенттің</w:t>
      </w:r>
      <w:proofErr w:type="spellEnd"/>
      <w:r w:rsidRPr="00D20216">
        <w:t xml:space="preserve"> </w:t>
      </w:r>
      <w:proofErr w:type="spellStart"/>
      <w:r w:rsidRPr="00D20216">
        <w:t>мөлшері</w:t>
      </w:r>
      <w:proofErr w:type="spellEnd"/>
      <w:r w:rsidRPr="00D20216">
        <w:t xml:space="preserve"> </w:t>
      </w:r>
      <w:proofErr w:type="spellStart"/>
      <w:r w:rsidRPr="00D20216">
        <w:t>орташа</w:t>
      </w:r>
      <w:proofErr w:type="spellEnd"/>
      <w:r w:rsidRPr="00D20216">
        <w:t xml:space="preserve"> </w:t>
      </w:r>
      <w:proofErr w:type="spellStart"/>
      <w:r w:rsidRPr="00D20216">
        <w:t>квадраттық</w:t>
      </w:r>
      <w:proofErr w:type="spellEnd"/>
      <w:r w:rsidRPr="00D20216">
        <w:t xml:space="preserve"> </w:t>
      </w:r>
      <w:proofErr w:type="spellStart"/>
      <w:r w:rsidRPr="00D20216">
        <w:t>ауытқу</w:t>
      </w:r>
      <w:proofErr w:type="spellEnd"/>
      <w:r w:rsidRPr="00D20216">
        <w:t xml:space="preserve"> мен </w:t>
      </w:r>
      <w:proofErr w:type="spellStart"/>
      <w:r w:rsidRPr="00D20216">
        <w:t>күтілетін</w:t>
      </w:r>
      <w:proofErr w:type="spellEnd"/>
      <w:r w:rsidRPr="00D20216">
        <w:t xml:space="preserve"> </w:t>
      </w:r>
      <w:proofErr w:type="spellStart"/>
      <w:r w:rsidRPr="00D20216">
        <w:t>табыстылық</w:t>
      </w:r>
      <w:proofErr w:type="spellEnd"/>
      <w:r w:rsidRPr="00D20216">
        <w:t xml:space="preserve"> </w:t>
      </w:r>
      <w:proofErr w:type="spellStart"/>
      <w:r w:rsidRPr="00D20216">
        <w:t>мөлшеріне</w:t>
      </w:r>
      <w:proofErr w:type="spellEnd"/>
      <w:r w:rsidRPr="00D20216">
        <w:t xml:space="preserve"> </w:t>
      </w:r>
      <w:proofErr w:type="spellStart"/>
      <w:r w:rsidRPr="00D20216">
        <w:t>қатынасы</w:t>
      </w:r>
      <w:proofErr w:type="spellEnd"/>
      <w:r w:rsidRPr="00D20216">
        <w:t xml:space="preserve"> </w:t>
      </w:r>
      <w:proofErr w:type="spellStart"/>
      <w:r w:rsidRPr="00D20216">
        <w:t>арқылы</w:t>
      </w:r>
      <w:proofErr w:type="spellEnd"/>
      <w:r w:rsidRPr="00D20216">
        <w:t xml:space="preserve"> </w:t>
      </w:r>
      <w:proofErr w:type="spellStart"/>
      <w:r w:rsidRPr="00D20216">
        <w:t>анықталады</w:t>
      </w:r>
      <w:proofErr w:type="spellEnd"/>
      <w:r w:rsidRPr="00D20216">
        <w:t>.</w:t>
      </w:r>
    </w:p>
    <w:p w:rsidR="005E1539" w:rsidRPr="00D20216" w:rsidRDefault="005E1539" w:rsidP="005E1539">
      <w:pPr>
        <w:ind w:right="-104"/>
        <w:jc w:val="both"/>
        <w:rPr>
          <w:lang w:val="kk-KZ"/>
        </w:rPr>
      </w:pPr>
    </w:p>
    <w:p w:rsidR="005E1539" w:rsidRPr="00D20216" w:rsidRDefault="005E1539" w:rsidP="005E1539">
      <w:pPr>
        <w:ind w:right="-104"/>
        <w:jc w:val="both"/>
        <w:rPr>
          <w:i/>
          <w:lang w:val="kk-KZ"/>
        </w:rPr>
      </w:pPr>
      <w:r w:rsidRPr="00D20216">
        <w:rPr>
          <w:i/>
          <w:lang w:val="kk-KZ"/>
        </w:rPr>
        <w:t>Бақылау сұрақтары :</w:t>
      </w:r>
    </w:p>
    <w:p w:rsidR="005E1539" w:rsidRPr="00D20216" w:rsidRDefault="005E1539" w:rsidP="005E1539">
      <w:pPr>
        <w:numPr>
          <w:ilvl w:val="0"/>
          <w:numId w:val="3"/>
        </w:numPr>
        <w:ind w:right="-104"/>
        <w:jc w:val="both"/>
        <w:rPr>
          <w:b/>
          <w:bCs/>
        </w:rPr>
      </w:pPr>
      <w:r w:rsidRPr="00D20216">
        <w:t>Т</w:t>
      </w:r>
      <w:r w:rsidRPr="00D20216">
        <w:rPr>
          <w:lang w:val="kk-KZ"/>
        </w:rPr>
        <w:t>әуекел түрлері</w:t>
      </w:r>
    </w:p>
    <w:p w:rsidR="005E1539" w:rsidRPr="00D20216" w:rsidRDefault="005E1539" w:rsidP="005E1539">
      <w:pPr>
        <w:numPr>
          <w:ilvl w:val="0"/>
          <w:numId w:val="3"/>
        </w:numPr>
        <w:ind w:right="-104"/>
        <w:jc w:val="both"/>
        <w:rPr>
          <w:b/>
          <w:bCs/>
        </w:rPr>
      </w:pPr>
      <w:r w:rsidRPr="00D20216">
        <w:rPr>
          <w:lang w:val="kk-KZ"/>
        </w:rPr>
        <w:t>Тәуекел деңгейін бағалау әдістері</w:t>
      </w:r>
    </w:p>
    <w:p w:rsidR="005E1539" w:rsidRDefault="005E1539" w:rsidP="005E1539"/>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KK EK">
    <w:altName w:val="Arial"/>
    <w:charset w:val="00"/>
    <w:family w:val="swiss"/>
    <w:pitch w:val="variable"/>
    <w:sig w:usb0="00000001"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New Roman KK EK">
    <w:altName w:val="Times New Roman"/>
    <w:charset w:val="CC"/>
    <w:family w:val="roman"/>
    <w:pitch w:val="variable"/>
    <w:sig w:usb0="00000001"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72E4D"/>
    <w:multiLevelType w:val="hybridMultilevel"/>
    <w:tmpl w:val="EF58B72C"/>
    <w:lvl w:ilvl="0" w:tplc="FBAA6A00">
      <w:start w:val="1"/>
      <w:numFmt w:val="decimal"/>
      <w:lvlText w:val="%1."/>
      <w:lvlJc w:val="left"/>
      <w:pPr>
        <w:ind w:left="720" w:hanging="360"/>
      </w:pPr>
      <w:rPr>
        <w:rFonts w:ascii="Arial KK EK" w:hAnsi="Arial KK EK"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E560CD"/>
    <w:multiLevelType w:val="hybridMultilevel"/>
    <w:tmpl w:val="A0B4B280"/>
    <w:lvl w:ilvl="0" w:tplc="6F1A9182">
      <w:start w:val="1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8D871F2"/>
    <w:multiLevelType w:val="hybridMultilevel"/>
    <w:tmpl w:val="C7F6AC48"/>
    <w:lvl w:ilvl="0" w:tplc="842C2C7A">
      <w:start w:val="1"/>
      <w:numFmt w:val="decimal"/>
      <w:lvlText w:val="%1."/>
      <w:lvlJc w:val="left"/>
      <w:pPr>
        <w:tabs>
          <w:tab w:val="num" w:pos="720"/>
        </w:tabs>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39"/>
    <w:rsid w:val="005E1539"/>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39"/>
    <w:pPr>
      <w:suppressAutoHyphens/>
    </w:pPr>
    <w:rPr>
      <w:rFonts w:ascii="Times New Roman" w:eastAsia="Times New Roman" w:hAnsi="Times New Roman" w:cs="Times New Roman"/>
      <w:lang w:eastAsia="ar-SA"/>
    </w:rPr>
  </w:style>
  <w:style w:type="paragraph" w:styleId="4">
    <w:name w:val="heading 4"/>
    <w:basedOn w:val="a"/>
    <w:next w:val="a"/>
    <w:link w:val="40"/>
    <w:qFormat/>
    <w:rsid w:val="005E1539"/>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E1539"/>
    <w:rPr>
      <w:rFonts w:ascii="Times New Roman" w:eastAsia="Times New Roman" w:hAnsi="Times New Roman" w:cs="Times New Roman"/>
      <w:b/>
      <w:bCs/>
      <w:sz w:val="28"/>
      <w:szCs w:val="28"/>
      <w:lang w:eastAsia="ar-SA"/>
    </w:rPr>
  </w:style>
  <w:style w:type="paragraph" w:customStyle="1" w:styleId="a3">
    <w:name w:val="Заголовок"/>
    <w:basedOn w:val="a"/>
    <w:next w:val="a4"/>
    <w:rsid w:val="005E1539"/>
    <w:pPr>
      <w:keepNext/>
      <w:spacing w:before="240" w:after="120"/>
    </w:pPr>
    <w:rPr>
      <w:rFonts w:ascii="Tahoma" w:eastAsia="Tahoma" w:hAnsi="Tahoma" w:cs="Tahoma"/>
      <w:sz w:val="28"/>
      <w:szCs w:val="28"/>
    </w:rPr>
  </w:style>
  <w:style w:type="paragraph" w:styleId="a4">
    <w:name w:val="Body Text"/>
    <w:basedOn w:val="a"/>
    <w:link w:val="a5"/>
    <w:uiPriority w:val="99"/>
    <w:semiHidden/>
    <w:unhideWhenUsed/>
    <w:rsid w:val="005E1539"/>
    <w:pPr>
      <w:spacing w:after="120"/>
    </w:pPr>
  </w:style>
  <w:style w:type="character" w:customStyle="1" w:styleId="a5">
    <w:name w:val="Основной текст Знак"/>
    <w:basedOn w:val="a0"/>
    <w:link w:val="a4"/>
    <w:uiPriority w:val="99"/>
    <w:semiHidden/>
    <w:rsid w:val="005E1539"/>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39"/>
    <w:pPr>
      <w:suppressAutoHyphens/>
    </w:pPr>
    <w:rPr>
      <w:rFonts w:ascii="Times New Roman" w:eastAsia="Times New Roman" w:hAnsi="Times New Roman" w:cs="Times New Roman"/>
      <w:lang w:eastAsia="ar-SA"/>
    </w:rPr>
  </w:style>
  <w:style w:type="paragraph" w:styleId="4">
    <w:name w:val="heading 4"/>
    <w:basedOn w:val="a"/>
    <w:next w:val="a"/>
    <w:link w:val="40"/>
    <w:qFormat/>
    <w:rsid w:val="005E1539"/>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E1539"/>
    <w:rPr>
      <w:rFonts w:ascii="Times New Roman" w:eastAsia="Times New Roman" w:hAnsi="Times New Roman" w:cs="Times New Roman"/>
      <w:b/>
      <w:bCs/>
      <w:sz w:val="28"/>
      <w:szCs w:val="28"/>
      <w:lang w:eastAsia="ar-SA"/>
    </w:rPr>
  </w:style>
  <w:style w:type="paragraph" w:customStyle="1" w:styleId="a3">
    <w:name w:val="Заголовок"/>
    <w:basedOn w:val="a"/>
    <w:next w:val="a4"/>
    <w:rsid w:val="005E1539"/>
    <w:pPr>
      <w:keepNext/>
      <w:spacing w:before="240" w:after="120"/>
    </w:pPr>
    <w:rPr>
      <w:rFonts w:ascii="Tahoma" w:eastAsia="Tahoma" w:hAnsi="Tahoma" w:cs="Tahoma"/>
      <w:sz w:val="28"/>
      <w:szCs w:val="28"/>
    </w:rPr>
  </w:style>
  <w:style w:type="paragraph" w:styleId="a4">
    <w:name w:val="Body Text"/>
    <w:basedOn w:val="a"/>
    <w:link w:val="a5"/>
    <w:uiPriority w:val="99"/>
    <w:semiHidden/>
    <w:unhideWhenUsed/>
    <w:rsid w:val="005E1539"/>
    <w:pPr>
      <w:spacing w:after="120"/>
    </w:pPr>
  </w:style>
  <w:style w:type="character" w:customStyle="1" w:styleId="a5">
    <w:name w:val="Основной текст Знак"/>
    <w:basedOn w:val="a0"/>
    <w:link w:val="a4"/>
    <w:uiPriority w:val="99"/>
    <w:semiHidden/>
    <w:rsid w:val="005E1539"/>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________________Microsoft_Equation2.bin"/><Relationship Id="rId20" Type="http://schemas.openxmlformats.org/officeDocument/2006/relationships/image" Target="media/image8.wmf"/><Relationship Id="rId21" Type="http://schemas.openxmlformats.org/officeDocument/2006/relationships/oleObject" Target="embeddings/________________Microsoft_Equation8.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oleObject" Target="embeddings/________________Microsoft_Equation3.bin"/><Relationship Id="rId12" Type="http://schemas.openxmlformats.org/officeDocument/2006/relationships/image" Target="media/image4.wmf"/><Relationship Id="rId13" Type="http://schemas.openxmlformats.org/officeDocument/2006/relationships/oleObject" Target="embeddings/________________Microsoft_Equation4.bin"/><Relationship Id="rId14" Type="http://schemas.openxmlformats.org/officeDocument/2006/relationships/image" Target="media/image5.wmf"/><Relationship Id="rId15" Type="http://schemas.openxmlformats.org/officeDocument/2006/relationships/oleObject" Target="embeddings/________________Microsoft_Equation5.bin"/><Relationship Id="rId16" Type="http://schemas.openxmlformats.org/officeDocument/2006/relationships/image" Target="media/image6.wmf"/><Relationship Id="rId17" Type="http://schemas.openxmlformats.org/officeDocument/2006/relationships/oleObject" Target="embeddings/________________Microsoft_Equation6.bin"/><Relationship Id="rId18" Type="http://schemas.openxmlformats.org/officeDocument/2006/relationships/image" Target="media/image7.wmf"/><Relationship Id="rId19" Type="http://schemas.openxmlformats.org/officeDocument/2006/relationships/oleObject" Target="embeddings/________________Microsoft_Equation7.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________________Microsoft_Equation1.bin"/><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2977</Characters>
  <Application>Microsoft Macintosh Word</Application>
  <DocSecurity>0</DocSecurity>
  <Lines>24</Lines>
  <Paragraphs>6</Paragraphs>
  <ScaleCrop>false</ScaleCrop>
  <Company>Dom</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2021-10-27T13:01:00Z</dcterms:created>
  <dcterms:modified xsi:type="dcterms:W3CDTF">2021-10-27T13:02:00Z</dcterms:modified>
</cp:coreProperties>
</file>